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Déchets. Transfert de compétence à l'EPCI. Sûreté et commodité du passage dans les voies publiques. Responsabilité du maire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transfert de compétences de la collecte et de la gestion des déchets à un EPCI n’a pas pour effet de priver le maire de sa compétence lorsque des déchets ou des encombrants portent atteinte à la sûreté et à la commodité du passage dans les voies publiques.</w:t>
      </w:r>
    </w:p>
    <w:p>
      <w:pPr/>
      <w:r>
        <w:rPr/>
        <w:t xml:space="preserve">En l’espèce, les trottoirs et abords du rond-point d’entrée des locaux de la société requérante sont régulièrement jonchés de détritus et d’encombrants. Elle réclame à la commune une somme de 141 847 € au titre de pertes de loyers.</w:t>
      </w:r>
    </w:p>
    <w:p>
      <w:pPr/>
      <w:r>
        <w:rPr/>
        <w:t xml:space="preserve">Mais les difficultés dont se plaint la société relèvent de la gestion d’une déchetterie à proximité de son terrain et non, pour l’essentiel, de l’exercice des pouvoirs de police du maire. Ainsi, les préjudices ne peuvent être directement imputés à la carence fautive du maire (CE, 25 mai 2023, </w:t>
      </w:r>
      <w:r>
        <w:rPr>
          <w:i w:val="1"/>
          <w:iCs w:val="1"/>
        </w:rPr>
        <w:t xml:space="preserve">commune d’Avignon</w:t>
      </w:r>
      <w:r>
        <w:rPr/>
        <w:t xml:space="preserve">, n° 454472).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2026-08-24T21:24:19+02:00</dcterms:created>
  <dcterms:modified xsi:type="dcterms:W3CDTF">2026-08-24T21:24:19+02:00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