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Retrait de délégation d'un adjoint. Non-maintien d'un adjoint dans ses fonctions. Motivation (non)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Le juge administratif a considéré que si le maire peut à tout moment retirer aux adjoints les délégations qu’il leur a confiées, une telle décision ne saurait être inspirée par un motif étranger à la bonne marche de l’administration communale (CE, 30 juin 1986, </w:t>
      </w:r>
      <w:hyperlink r:id="rId7" w:history="1">
        <w:r>
          <w:rPr/>
          <w:t xml:space="preserve">commune d’Aix-en-Provence</w:t>
        </w:r>
      </w:hyperlink>
      <w:r>
        <w:rPr/>
        <w:t xml:space="preserve">, n° 73093).</w:t>
      </w:r>
    </w:p>
    <w:p>
      <w:pPr/>
      <w:r>
        <w:rPr/>
        <w:t xml:space="preserve">Le juge n’exerce sur la décision de retrait qu’un contrôle de l’erreur manifeste d’appréciation (CE, 24 mars 1976, </w:t>
      </w:r>
      <w:hyperlink r:id="rId8" w:history="1">
        <w:r>
          <w:rPr/>
          <w:t xml:space="preserve">commune de Bouc-Bel-Air</w:t>
        </w:r>
      </w:hyperlink>
      <w:r>
        <w:rPr/>
        <w:t xml:space="preserve">, n° 97163).</w:t>
      </w:r>
    </w:p>
    <w:p>
      <w:pPr/>
      <w:r>
        <w:rPr/>
        <w:t xml:space="preserve">En outre, l'absence de motivation dans la délibération par laquelle le conseil municipal décide du non-maintien d’un adjoint dans ses fonctions n’entache pas sa légalité (CAA Bordeaux, 4 février 2016, </w:t>
      </w:r>
      <w:hyperlink r:id="rId9" w:history="1">
        <w:r>
          <w:rPr/>
          <w:t xml:space="preserve">n° 14BX01109</w:t>
        </w:r>
      </w:hyperlink>
      <w:r>
        <w:rPr/>
        <w:t xml:space="preserve">) (</w:t>
      </w:r>
      <w:r>
        <w:rPr>
          <w:i w:val="1"/>
          <w:iCs w:val="1"/>
        </w:rPr>
        <w:t xml:space="preserve">JO</w:t>
      </w:r>
      <w:r>
        <w:rPr/>
        <w:t xml:space="preserve"> AN, 24.10.2023, question n° 10307, p. 9447).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eta/id/CETATEXT000007713755" TargetMode="External"/><Relationship Id="rId8" Type="http://schemas.openxmlformats.org/officeDocument/2006/relationships/hyperlink" Target="https://www.legifrance.gouv.fr/ceta/id/CETATEXT000007652264/" TargetMode="External"/><Relationship Id="rId9" Type="http://schemas.openxmlformats.org/officeDocument/2006/relationships/hyperlink" Target="https://www.legifrance.gouv.fr/ceta/id/CETATEXT0000319959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2026-01-23T06:44:04+01:00</dcterms:created>
  <dcterms:modified xsi:type="dcterms:W3CDTF">2026-01-23T06:44:04+01:00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