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Evaluation et suivi de l'artificialisation des sols. Notions</w:t>
      </w:r>
    </w:p>
    <w:p>
      <w:pPr>
        <w:pStyle w:val="Heading2"/>
      </w:pPr>
      <w:r>
        <w:rPr/>
        <w:t xml:space="preserve">Revue - Urbanisme</w:t>
      </w:r>
    </w:p>
    <w:p>
      <w:pPr>
        <w:pStyle w:val="Heading3"/>
      </w:pPr>
      <w:r>
        <w:rPr/>
        <w:t xml:space="preserve">Source - JO</w:t>
      </w:r>
    </w:p>
    <w:p/>
    <w:p>
      <w:pPr/>
      <w:r>
        <w:rPr/>
        <w:t xml:space="preserve">La loi n° 2021-1104 du 22 août 2021 portant lutte contre le dérèglement climatique et renforcement de la résilience face à ses effets a fixé l'objectif d'atteindre le « zéro artificialisation nette des sols » en 2050, avec un objectif intermédiaire de réduction de moitié de la consommation d'espaces naturels, agricoles et forestiers dans les dix prochaines années. Cette trajectoire progressive est à décliner territorialement dans les documents de planification et d'urbanisme.</w:t>
      </w:r>
    </w:p>
    <w:p>
      <w:pPr/>
      <w:r>
        <w:rPr>
          <w:b w:val="1"/>
          <w:bCs w:val="1"/>
        </w:rPr>
        <w:t xml:space="preserve">1.</w:t>
      </w:r>
      <w:hyperlink r:id="rId7" w:history="1">
        <w:r>
          <w:rPr/>
          <w:t xml:space="preserve">L'article L 101-2-1</w:t>
        </w:r>
      </w:hyperlink>
      <w:r>
        <w:rPr/>
        <w:t xml:space="preserve"> du code de l'urbanisme définit le processus d'artificialisation des sols et détermine les surfaces devant être considérées comme artificialisées et celles comme non artificialisées dans le cadre de la fixation et du suivi de cet objectif dans les documents de planification et d'urbanisme. </w:t>
      </w:r>
      <w:hyperlink r:id="rId8" w:history="1">
        <w:r>
          <w:rPr/>
          <w:t xml:space="preserve">L'article R 101-1</w:t>
        </w:r>
      </w:hyperlink>
      <w:r>
        <w:rPr/>
        <w:t xml:space="preserve"> du code de l'urbanisme indique en particulier qu'afin de mesurer le solde d'artificialisation nette des sols à l'échelle des documents de planification et d'urbanisme, les surfaces sont qualifiées comme artificialisées ou non artificialisées selon les catégories d'une nomenclature annexée au décret. Ces surfaces sont appréciées compte tenu de l'occupation des sols observée qui résulte à la fois de leur couverture mais également de leur usage.</w:t>
      </w:r>
    </w:p>
    <w:p>
      <w:pPr/>
      <w:r>
        <w:rPr>
          <w:b w:val="1"/>
          <w:bCs w:val="1"/>
        </w:rPr>
        <w:t xml:space="preserve">2. </w:t>
      </w:r>
      <w:r>
        <w:rPr/>
        <w:t xml:space="preserve">Conformément à l'article L 101-2-1 du code de l'urbanisme, la nomenclature précise que les surfaces dont les sols sont soit imperméabilisés en raison du bâti ou d'un revêtement, soit stabilisés et compactés, soit constitués de matériaux composites sont qualifiées de surfaces artificialisées. De même, les surfaces végétalisées herbacées et qui sont à usage résidentiel, de production secondaire ou tertiaire, ou d'infrastructures, sont considérées comme artificialisées. Le décret n° 2023-1096 du 27 novembre 2023 clarifie que les surfaces entrant dans ces catégories, qui sont en chantier ou à l'abandon, sont également considérées comme artificialisées.</w:t>
      </w:r>
    </w:p>
    <w:p>
      <w:pPr/>
      <w:r>
        <w:rPr/>
        <w:t xml:space="preserve">En revanche, sont qualifiées comme non artificialisées les surfaces qui sont soit naturelles, nues ou couvertes d'eau, soit végétalisées, constituant un habitat naturel ou utilisées à usage de cultures, y compris les surfaces d'agriculture urbaine et les surfaces boisées ou arbustives dans l'espace urbain. Le décret confirme que les surfaces à usage de culture agricole, et qui sont en friches, sont bien qualifiées comme étant non artificialisées. Il dissocie par ailleurs les surfaces à usage agricole de celles végétalisées à usage sylvicole pour une mesure plus fine de ces types de surfaces.</w:t>
      </w:r>
    </w:p>
    <w:p>
      <w:pPr/>
      <w:r>
        <w:rPr/>
        <w:t xml:space="preserve">Les surfaces végétalisées à usage de parc ou jardin public, quel que soit le type de couvert (boisé ou herbacé) pourront être considérées comme étant non artificialisées, valorisant ainsi ces espaces de nature en ville. Il en sera de même pour les surfaces végétalisées sur lesquelles seront implantées des installations de panneaux photovoltaïques qui respectent des conditions techniques garantissant qu'elles n'affectent pas durablement les fonctions écologiques du sol ainsi que son potentiel agronomique.</w:t>
      </w:r>
    </w:p>
    <w:p>
      <w:pPr/>
      <w:r>
        <w:rPr/>
        <w:t xml:space="preserve">Enfin, sont intégrés les seuils de référence à partir desquels pourront être qualifiées les surfaces (50 m2 pour le bâti et 2 500 m2 pour les autres catégories de surface ; 5 mètres de large pour les infrastructures linéaires et au moins 25 % de boisement d'une surface végétalisée pour qu'elle ne soit pas seulement considérée comme herbacée).</w:t>
      </w:r>
    </w:p>
    <w:p>
      <w:pPr/>
      <w:r>
        <w:rPr>
          <w:b w:val="1"/>
          <w:bCs w:val="1"/>
        </w:rPr>
        <w:t xml:space="preserve">3. </w:t>
      </w:r>
      <w:r>
        <w:rPr/>
        <w:t xml:space="preserve">Cette nomenclature ne s'applique pas pour les objectifs de la première tranche de 10 ans prévue à l'article 194 de la même loi : pendant cette période transitoire de 2021 à 2031, les objectifs porteront uniquement sur la réduction de la consommation des espaces naturels, agricoles et forestiers (entendue comme la création ou l'extension effective d'espace urbanisé).</w:t>
      </w:r>
    </w:p>
    <w:p>
      <w:pPr/>
      <w:r>
        <w:rPr>
          <w:b w:val="1"/>
          <w:bCs w:val="1"/>
        </w:rPr>
        <w:t xml:space="preserve">4. </w:t>
      </w:r>
      <w:r>
        <w:rPr/>
        <w:t xml:space="preserve">Par ailleurs, ce décret précise le contenu du rapport local de suivi de l'artificialisation des sols. Selon </w:t>
      </w:r>
      <w:hyperlink r:id="rId9" w:history="1">
        <w:r>
          <w:rPr/>
          <w:t xml:space="preserve">l'article L 2231-1</w:t>
        </w:r>
      </w:hyperlink>
      <w:r>
        <w:rPr/>
        <w:t xml:space="preserve"> du CGCT, les communes ou les EPCI compétents, dès lors que leur territoire est couvert par un document d'urbanisme, établissent un rapport tous les 3 ans sur le rythme de l'artificialisation des sols et le respect des objectifs déclinés au niveau local. Le premier rapport doit être réalisé trois ans après l'entrée en vigueur de la loi, cette mesure étant d'application immédiate une fois les dispositions réglementaires adoptées.</w:t>
      </w:r>
    </w:p>
    <w:p>
      <w:pPr/>
      <w:r>
        <w:rPr/>
        <w:t xml:space="preserve">Le décret précise les indicateurs et les données devant y figurer. L'élaboration du rapport s'appuie sur des données mesurables et accessibles, que possèdent l'ensemble des communes ou leurs groupements, ou qui leur seront en particulier mises à disposition par l'Etat à travers un observatoire national de l'artificialisation des sols (dont le décret précise le rôle). Il pourra comprendre toutes les informations que la commune ou l'intercommunalité souhaite apporter quant à l'évolution et au suivi de la consommation des espaces et l'artificialisation des sols. Dès lors qu'elle dispose d'un observatoire local, elle peut le mobiliser en ce sens.</w:t>
      </w:r>
    </w:p>
    <w:p>
      <w:pPr/>
      <w:r>
        <w:rPr/>
        <w:t xml:space="preserve">Une disposition transitoire est prévue pour les indicateurs que les communes ou intercommunalités ne pourraient pas être en mesure de remplir, en l'absence de données durant les prochaines années, notamment compte tenu des échéances prévues à l'article 194 de la loi. Ces suivis réguliers permettront d'apprécier l'artificialisation des sols à une échelle plus fine et seront utiles pour alimenter les bilans de consommation des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codes/article_lc/LEGIARTI000048162483" TargetMode="External"/><Relationship Id="rId9" Type="http://schemas.openxmlformats.org/officeDocument/2006/relationships/hyperlink" Target="https://www.legifrance.gouv.fr/codes/article_lc/LEGIARTI000043977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2026-01-23T04:57:07+01:00</dcterms:created>
  <dcterms:modified xsi:type="dcterms:W3CDTF">2026-01-23T04:57:07+01:00</dcterms:modified>
</cp:coreProperties>
</file>

<file path=docProps/custom.xml><?xml version="1.0" encoding="utf-8"?>
<Properties xmlns="http://schemas.openxmlformats.org/officeDocument/2006/custom-properties" xmlns:vt="http://schemas.openxmlformats.org/officeDocument/2006/docPropsVTypes"/>
</file>