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Fin du transfert automatique à l'EPCI non compétent en matière de PLU ou de RLP (communes de - 3 500 hab.)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 </w:t>
      </w:r>
      <w:hyperlink r:id="rId7" w:history="1">
        <w:r>
          <w:rPr/>
          <w:t xml:space="preserve">l'article 250</w:t>
        </w:r>
      </w:hyperlink>
      <w:r>
        <w:rPr/>
        <w:t xml:space="preserve"> de la loi n° 2023-1322 de la loi de finances pour 2024 du 29 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72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2026-01-23T05:14:05+01:00</dcterms:created>
  <dcterms:modified xsi:type="dcterms:W3CDTF">2026-01-23T05:14:05+01:00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