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d’une base de loisirs. Résiliation unilatérale pour perte de confiance. Motif d’intérêt général</w:t>
      </w:r>
    </w:p>
    <w:p>
      <w:pPr>
        <w:pStyle w:val="Heading2"/>
      </w:pPr>
      <w:r>
        <w:rPr/>
        <w:t xml:space="preserve">Revue - Marchés Publics</w:t>
      </w:r>
    </w:p>
    <w:p>
      <w:pPr>
        <w:pStyle w:val="Heading3"/>
      </w:pPr>
      <w:r>
        <w:rPr/>
        <w:t xml:space="preserve">Source - Jurisprudence</w:t>
      </w:r>
    </w:p>
    <w:p/>
    <w:p>
      <w:pPr/>
      <w:r>
        <w:rPr/>
        <w:t xml:space="preserve">Une communauté de communes a confié à une société, par une convention d'affermage et de location gérance d'une durée de 15 ans, conclue le 28 février 2010, l'exploitation d’une base de loisirs qui comprend 220 hectares de bois et forêts et 45 hectares de plan d'eau ainsi que des gîtes, un camping, des salles de réception et un restaurant.</w:t>
      </w:r>
    </w:p>
    <w:p>
      <w:pPr/>
      <w:r>
        <w:rPr>
          <w:b w:val="1"/>
          <w:bCs w:val="1"/>
        </w:rPr>
        <w:t xml:space="preserve">1.</w:t>
      </w:r>
      <w:r>
        <w:rPr/>
        <w:t xml:space="preserve"> Il résulte de l'instruction que la société a notamment entrepris des travaux non autorisés par la convention, remettait ses rapports d'activité tardivement et de manière incomplète, n'a pas remis, malgré les demandes de la communauté de communes, un projet global de gestion des loisirs sur le site, que les principaux investissements ont été réalisés et financés par la communauté de communes, que plusieurs activités de loisirs ont été exploitées sans accord, que la prise en charge des frais de surveillance de la baignade dans le lac a donné lieu à des discussions dont le résultat semble n'avoir satisfait aucune des parties, que des retards de paiement des redevances dues par la société ont été constatés, que cette dernière a manifesté le souhait de ne plus s'investir dans les activités de loisirs affermées et a décidé unilatéralement, à compter du 27 mars 2019, de ne plus payer la redevance due au titre du contrat d'affermage.</w:t>
      </w:r>
    </w:p>
    <w:p>
      <w:pPr/>
      <w:r>
        <w:rPr>
          <w:b w:val="1"/>
          <w:bCs w:val="1"/>
        </w:rPr>
        <w:t xml:space="preserve">2. </w:t>
      </w:r>
      <w:r>
        <w:rPr/>
        <w:t xml:space="preserve">L'ensemble de ces éléments témoignent d'une profonde détérioration des relations contractuelles, née d'une perte de confiance entre les parties faisant obstacle à la poursuite du contrat, et ont justifié par suite la résiliation unilatérale, pour ce motif qui revêt à lui seul un caractère d'intérêt général, de la convention en cause (CAA Nantes, 19 janvier 2024, </w:t>
      </w:r>
      <w:r>
        <w:rPr>
          <w:i w:val="1"/>
          <w:iCs w:val="1"/>
        </w:rPr>
        <w:t xml:space="preserve">SELARL Athéna</w:t>
      </w:r>
      <w:r>
        <w:rPr/>
        <w:t xml:space="preserve">, n° 22NT02651).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2026-04-28T14:02:12+02:00</dcterms:created>
  <dcterms:modified xsi:type="dcterms:W3CDTF">2026-04-28T14:02:12+02:00</dcterms:modified>
</cp:coreProperties>
</file>

<file path=docProps/custom.xml><?xml version="1.0" encoding="utf-8"?>
<Properties xmlns="http://schemas.openxmlformats.org/officeDocument/2006/custom-properties" xmlns:vt="http://schemas.openxmlformats.org/officeDocument/2006/docPropsVTypes"/>
</file>