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Antennes-relais de radiotéléphonie mobile. Cas où la déclaration préalable est nécessaire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antennes-relais de radiotéléphonie mobile sont soumises à déclaration préalable lorsque :</w:t>
      </w:r>
    </w:p>
    <w:p>
      <w:pPr/>
      <w:r>
        <w:rPr/>
        <w:t xml:space="preserve">- soit, quelle que soit la hauteur de l’antenne, la surface de plancher et l'emprise au sol créées sont supérieures à 5 m</w:t>
      </w:r>
      <w:r>
        <w:rPr>
          <w:vertAlign w:val="superscript"/>
        </w:rPr>
        <w:t xml:space="preserve">2</w:t>
      </w:r>
      <w:r>
        <w:rPr/>
        <w:t xml:space="preserve"> et inférieures ou égales à 20 m</w:t>
      </w:r>
      <w:r>
        <w:rPr>
          <w:vertAlign w:val="superscript"/>
        </w:rPr>
        <w:t xml:space="preserve">2</w:t>
      </w:r>
      <w:r>
        <w:rPr/>
        <w:t xml:space="preserve"> ;</w:t>
      </w:r>
      <w:br/>
      <w:r>
        <w:rPr/>
        <w:t xml:space="preserve"> - soit, s’agissant des antennes d’une hauteur supérieure à 12 mètres, la surface de plancher et l'emprise au sol créées sont inférieures ou égales à 5 m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Les projets comportant des antennes d’une hauteur inférieure ou égale à 12 mètres et entraînant la création d’une surface de plancher et d’une emprise au sol inférieures ou égales à 5 m</w:t>
      </w:r>
      <w:r>
        <w:rPr>
          <w:vertAlign w:val="superscript"/>
        </w:rPr>
        <w:t xml:space="preserve">2</w:t>
      </w:r>
      <w:r>
        <w:rPr/>
        <w:t xml:space="preserve"> restent dispensés de toute formalité.</w:t>
      </w:r>
    </w:p>
    <w:p>
      <w:pPr/>
      <w:r>
        <w:rPr>
          <w:b w:val="1"/>
          <w:bCs w:val="1"/>
        </w:rPr>
        <w:t xml:space="preserve">3. </w:t>
      </w:r>
      <w:r>
        <w:rPr/>
        <w:t xml:space="preserve">Pour l’appréciation des seuils applicables à ces projets de constructions, seules la surface de plancher et l’emprise au sol des locaux et installations techniques doivent être prises en compte, et non l’emprise au sol des pylônes (</w:t>
      </w:r>
      <w:hyperlink r:id="rId7" w:history="1">
        <w:r>
          <w:rPr/>
          <w:t xml:space="preserve">art. R 421-9, j et c</w:t>
        </w:r>
      </w:hyperlink>
      <w:r>
        <w:rPr/>
        <w:t xml:space="preserve"> ; </w:t>
      </w:r>
      <w:hyperlink r:id="rId8" w:history="1">
        <w:r>
          <w:rPr/>
          <w:t xml:space="preserve">R 421-2, a</w:t>
        </w:r>
      </w:hyperlink>
      <w:r>
        <w:rPr/>
        <w:t xml:space="preserve"> du code de l’urbanisme) (CE, 21 mars 2024, avis n° 490536).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34813" TargetMode="External"/><Relationship Id="rId8" Type="http://schemas.openxmlformats.org/officeDocument/2006/relationships/hyperlink" Target="https://www.legifrance.gouv.fr/codes/article_lc/LEGIARTI000034355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2026-05-04T10:14:41+02:00</dcterms:created>
  <dcterms:modified xsi:type="dcterms:W3CDTF">2026-05-04T10:14:41+02:00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