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Travaux supplémentaires sans ordre de service. Indemnisation</w:t>
      </w:r>
    </w:p>
    <w:p>
      <w:pPr>
        <w:pStyle w:val="Heading2"/>
      </w:pPr>
      <w:r>
        <w:rPr/>
        <w:t xml:space="preserve">Revue - Marchés Publics</w:t>
      </w:r>
    </w:p>
    <w:p>
      <w:pPr>
        <w:pStyle w:val="Heading3"/>
      </w:pPr>
      <w:r>
        <w:rPr/>
        <w:t xml:space="preserve">Source - Jurisprudence</w:t>
      </w:r>
    </w:p>
    <w:p/>
    <w:p>
      <w:pPr/>
      <w:r>
        <w:rPr>
          <w:b w:val="1"/>
          <w:bCs w:val="1"/>
        </w:rPr>
        <w:t xml:space="preserve">1.</w:t>
      </w:r>
      <w:r>
        <w:rPr/>
        <w:t xml:space="preserve"> Le caractère global et forfaitaire du prix du marché ne fait pas obstacle à ce que l'entreprise cocontractante sollicite une indemnisation au titre de travaux supplémentaires effectués, même sans ordre de service, dès lors que ces travaux étaient indispensables à la réalisation de l'ouvrage dans les règles de l'art.</w:t>
      </w:r>
    </w:p>
    <w:p>
      <w:pPr/>
      <w:r>
        <w:rPr/>
        <w:t xml:space="preserve">Dans ce cadre, l'entreprise peut également solliciter l'indemnisation des travaux supplémentaires utiles à la personne publique contractante lorsqu'ils sont réalisés à sa demande.</w:t>
      </w:r>
    </w:p>
    <w:p>
      <w:pPr/>
      <w:r>
        <w:rPr>
          <w:b w:val="1"/>
          <w:bCs w:val="1"/>
        </w:rPr>
        <w:t xml:space="preserve">2.</w:t>
      </w:r>
      <w:r>
        <w:rPr/>
        <w:t xml:space="preserve"> Il résulte de ce principe que même si un marché public a été conclu à prix forfaitaire, son titulaire a droit à être indemnisé pour les dépenses exposées en raison de sujétions imprévues, c'est-à-dire de sujétions présentant un caractère exceptionnel et imprévisible et dont la cause est extérieure aux parties, si ces sujétions ont eu pour effet de bouleverser l'économie générale du marché. D'autre part, il en résulte également que le titulaire du marché a droit à l'indemnisation intégrale du préjudice qu'il a subi du fait de retards dans l'exécution du marché imputables au maître de l'ouvrage ou à ses autres cocontractants et distincts de l'allongement de la durée du chantier dû à la réalisation des travaux supplémentaires, dès lors que ce préjudice apparaît certain et présente avec ces retards un lien de causalité direct mais que le maître d'ouvrage ne saurait être tenu que de ses propres fautes et non de celles commises par d'autres constructeurs.</w:t>
      </w:r>
    </w:p>
    <w:p>
      <w:pPr/>
      <w:r>
        <w:rPr>
          <w:b w:val="1"/>
          <w:bCs w:val="1"/>
        </w:rPr>
        <w:t xml:space="preserve">3. </w:t>
      </w:r>
      <w:r>
        <w:rPr/>
        <w:t xml:space="preserve">En l’espèce, les travaux en litige, qui font partie de la masse des travaux contractuellement convenus, n’ont pas le caractère de travaux supplémentaires (CAA Toulouse, 13 février 2024, </w:t>
      </w:r>
      <w:r>
        <w:rPr>
          <w:i w:val="1"/>
          <w:iCs w:val="1"/>
        </w:rPr>
        <w:t xml:space="preserve">SA Axima Concept</w:t>
      </w:r>
      <w:r>
        <w:rPr/>
        <w:t xml:space="preserve">, n° 21TL00701).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2026-01-23T05:24:06+01:00</dcterms:created>
  <dcterms:modified xsi:type="dcterms:W3CDTF">2026-01-23T05:24:06+01:00</dcterms:modified>
</cp:coreProperties>
</file>

<file path=docProps/custom.xml><?xml version="1.0" encoding="utf-8"?>
<Properties xmlns="http://schemas.openxmlformats.org/officeDocument/2006/custom-properties" xmlns:vt="http://schemas.openxmlformats.org/officeDocument/2006/docPropsVTypes"/>
</file>