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Accord-cadre. Montant maximum. Crédits budgétaires alloués. Offre inacceptable (conditions)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1. </w:t>
      </w:r>
      <w:r>
        <w:rPr/>
        <w:t xml:space="preserve">Les crédits budgétaires alloués à un marché passé sous la forme d’un accord-cadre peuvent être inférieurs au montant maximum prévu par cet accord.</w:t>
      </w:r>
    </w:p>
    <w:p>
      <w:pPr/>
      <w:r>
        <w:rPr>
          <w:b w:val="1"/>
          <w:bCs w:val="1"/>
        </w:rPr>
        <w:t xml:space="preserve">2. </w:t>
      </w:r>
      <w:r>
        <w:rPr/>
        <w:t xml:space="preserve">Dans ce cas, une offre ne peut être déclarée comme inacceptable au sens des articles </w:t>
      </w:r>
      <w:hyperlink r:id="rId7" w:history="1">
        <w:r>
          <w:rPr/>
          <w:t xml:space="preserve">L 2152-1</w:t>
        </w:r>
      </w:hyperlink>
      <w:r>
        <w:rPr/>
        <w:t xml:space="preserve"> et </w:t>
      </w:r>
      <w:hyperlink r:id="rId8" w:history="1">
        <w:r>
          <w:rPr/>
          <w:t xml:space="preserve">L 2152-3</w:t>
        </w:r>
      </w:hyperlink>
      <w:r>
        <w:rPr/>
        <w:t xml:space="preserve"> du code de la commande publique au motif qu’elle excède le montant de ces crédits budgétaires qu’à la condition que ce dernier montant ait été porté à la connaissance des candidats (CE, 12 juin 2024, </w:t>
      </w:r>
      <w:r>
        <w:rPr>
          <w:i w:val="1"/>
          <w:iCs w:val="1"/>
        </w:rPr>
        <w:t xml:space="preserve">société Actor France</w:t>
      </w:r>
      <w:r>
        <w:rPr/>
        <w:t xml:space="preserve">, n° 475214).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7703647" TargetMode="External"/><Relationship Id="rId8" Type="http://schemas.openxmlformats.org/officeDocument/2006/relationships/hyperlink" Target="https://www.legifrance.gouv.fr/codes/article_lc/LEGIARTI000037703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2026-06-13T05:37:51+02:00</dcterms:created>
  <dcterms:modified xsi:type="dcterms:W3CDTF">2026-06-13T05:37:51+02:00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