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Restriction de la circulation</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Les chemins ruraux sont des chemins appartenant au domaine privé communal ouverts à la circulation publique. Toutefois, en vertu de </w:t>
      </w:r>
      <w:hyperlink r:id="rId7" w:history="1">
        <w:r>
          <w:rPr/>
          <w:t xml:space="preserve">l'article L 161-5</w:t>
        </w:r>
      </w:hyperlink>
      <w:r>
        <w:rPr/>
        <w:t xml:space="preserve">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w:t>
      </w:r>
      <w:hyperlink r:id="rId8" w:history="1">
        <w:r>
          <w:rPr/>
          <w:t xml:space="preserve">L'article D 161-10</w:t>
        </w:r>
      </w:hyperlink>
      <w:r>
        <w:rPr/>
        <w:t xml:space="preserve">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w:t>
      </w:r>
    </w:p>
    <w:p>
      <w:pPr/>
      <w:r>
        <w:rPr>
          <w:b w:val="1"/>
          <w:bCs w:val="1"/>
        </w:rPr>
        <w:t xml:space="preserve">2.</w:t>
      </w:r>
      <w:r>
        <w:rPr/>
        <w:t xml:space="preserve">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Par exemple, le maire est ainsi fondé à interdire la circulation des véhicules de 3,5 tonnes sur un chemin rural fréquenté ne permettant pas le croisement de deux véhicules, ce qui a occasionné des accidents (CE, 4 octobre 2010, </w:t>
      </w:r>
      <w:hyperlink r:id="rId9" w:history="1">
        <w:r>
          <w:rPr/>
          <w:t xml:space="preserve">n° 310801</w:t>
        </w:r>
      </w:hyperlink>
      <w:r>
        <w:rPr/>
        <w:t xml:space="preserve">) ou sur un chemin rural constitué de terre battue et de gravillons et détérioré par le passage répété de poids lourds (CAA Marseille, 30 septembre 2019, </w:t>
      </w:r>
      <w:hyperlink r:id="rId10" w:history="1">
        <w:r>
          <w:rPr/>
          <w:t xml:space="preserve">n° 17MA01105</w:t>
        </w:r>
      </w:hyperlink>
      <w:r>
        <w:rPr/>
        <w:t xml:space="preserve">).</w:t>
      </w:r>
    </w:p>
    <w:p>
      <w:pPr/>
      <w:r>
        <w:rPr/>
        <w:t xml:space="preserve">En revanche, il ne peut interdire le passage d'engins agricoles lourds et encombrants si le chemin rural peut le supporter et qu'aucun autre motif ne justifie l'interdiction (CAA Douai, 2 avril 2020, </w:t>
      </w:r>
      <w:hyperlink r:id="rId11" w:history="1">
        <w:r>
          <w:rPr/>
          <w:t xml:space="preserve">n° 18DA01218</w:t>
        </w:r>
      </w:hyperlink>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w:t>
      </w:r>
    </w:p>
    <w:p>
      <w:pPr/>
      <w:r>
        <w:rPr/>
        <w:t xml:space="preserve">Une interdiction légale n'est pas exclusive de la responsabilité sans faute de la commune envers les personnes qui subiraient un préjudice anormal et spécial du fait de cette interdiction.</w:t>
      </w:r>
    </w:p>
    <w:p>
      <w:pPr/>
      <w:r>
        <w:rPr>
          <w:b w:val="1"/>
          <w:bCs w:val="1"/>
        </w:rPr>
        <w:t xml:space="preserve">3.</w:t>
      </w:r>
      <w:r>
        <w:rPr/>
        <w:t xml:space="preserve"> En dehors des mesures réglementant la circulation sur les chemins ruraux, </w:t>
      </w:r>
      <w:hyperlink r:id="rId12" w:history="1">
        <w:r>
          <w:rPr/>
          <w:t xml:space="preserve">l'article L 161-8</w:t>
        </w:r>
      </w:hyperlink>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r>
        <w:rPr>
          <w:i w:val="1"/>
          <w:iCs w:val="1"/>
        </w:rPr>
        <w:t xml:space="preserve">JO </w:t>
      </w:r>
      <w:r>
        <w:rPr/>
        <w:t xml:space="preserve">Sénat, 25.04.2024, question n° 08495, p. 1788).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2173" TargetMode="External"/><Relationship Id="rId8" Type="http://schemas.openxmlformats.org/officeDocument/2006/relationships/hyperlink" Target="https://www.legifrance.gouv.fr/codes/article_lc/LEGIARTI000006587651" TargetMode="External"/><Relationship Id="rId9" Type="http://schemas.openxmlformats.org/officeDocument/2006/relationships/hyperlink" Target="https://www.legifrance.gouv.fr/ceta/id/CETATEXT000022900768" TargetMode="External"/><Relationship Id="rId10" Type="http://schemas.openxmlformats.org/officeDocument/2006/relationships/hyperlink" Target="https://www.legifrance.gouv.fr/ceta/id/CETATEXT000039166543" TargetMode="External"/><Relationship Id="rId11" Type="http://schemas.openxmlformats.org/officeDocument/2006/relationships/hyperlink" Target="https://www.legifrance.gouv.fr/ceta/id/CETATEXT000041785915" TargetMode="External"/><Relationship Id="rId12" Type="http://schemas.openxmlformats.org/officeDocument/2006/relationships/hyperlink" Target="https://www.legifrance.gouv.fr/codes/article_lc/LEGIARTI00004521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2026-01-23T04:56:38+01:00</dcterms:created>
  <dcterms:modified xsi:type="dcterms:W3CDTF">2026-01-23T04:56:38+01:00</dcterms:modified>
</cp:coreProperties>
</file>

<file path=docProps/custom.xml><?xml version="1.0" encoding="utf-8"?>
<Properties xmlns="http://schemas.openxmlformats.org/officeDocument/2006/custom-properties" xmlns:vt="http://schemas.openxmlformats.org/officeDocument/2006/docPropsVTypes"/>
</file>