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Immeuble soumis au régime de la copropriété. Biens appartenant à une personne publique. Ouvrage public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Les règles essentielles du régime de la copropriété sont incompatibles tant avec le régime de la domanialité publique qu'avec les caractères des ouvrages publics. Par suite, des biens appartenant à une personne publique dans un immeuble soumis au régime de la copropriété n’appartiennent pas au domaine public et ne peuvent être regardés comme constituant un ouvrage public, fussent-ils affectés au besoin du service public ou à l’usage du public.</w:t>
      </w:r>
    </w:p>
    <w:p>
      <w:pPr/>
      <w:r>
        <w:rPr/>
        <w:t xml:space="preserve">De même, les dommages qui trouveraient leur source dans l’aménagement ou l’entretien de ces locaux ne sont pas des dommages de travaux publics.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le Tribunal des conflits a été saisi pour déterminer la compétence entre le juge administratif et le juge judiciaire concernant une demande d’indemnisation d’un syndicat de copropriétaires par suite d'infiltrations provenant d’une dalle-terrasse aménagée par la commune.</w:t>
      </w:r>
    </w:p>
    <w:p>
      <w:pPr/>
      <w:r>
        <w:rPr/>
        <w:t xml:space="preserve">Bien qu'aménagée par une collectivité publique, la dalle fait partie des parties communes de la copropriété et n’appartient pas au domaine public.</w:t>
      </w:r>
    </w:p>
    <w:p>
      <w:pPr/>
      <w:r>
        <w:rPr/>
        <w:t xml:space="preserve">Par conséquent, les dommages ne sont pas considérés comme des dommages de travaux publics et le juge judiciaire est compétent pour traiter les demandes en indemnisation (TC, 7 octobre 2024, n° C4319).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2026-08-25T21:34:35+02:00</dcterms:created>
  <dcterms:modified xsi:type="dcterms:W3CDTF">2026-08-25T21:34:35+02:00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