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 du maire. Démission du conseiller élu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Lorsqu'au cours de la séance à laquelle il a été procédé à l'élection, un conseiller municipal élu maire ou maire délégué refuse d'accepter les fonctions auxquelles il vient d'être élu, le conseil municipal peut procéder immédiatement à une nouvelle élection pour le remplacer, sans nécessité pour le conseiller élu de présenter sa démission selon la procédure prévue à </w:t>
      </w:r>
      <w:hyperlink r:id="rId7" w:history="1">
        <w:r>
          <w:rPr/>
          <w:t xml:space="preserve">l'article L 2122-15</w:t>
        </w:r>
      </w:hyperlink>
      <w:r>
        <w:rPr/>
        <w:t xml:space="preserve"> du CGCT qui prévoit que la démission du maire ou d'un adjoint est adressée au préfet.</w:t>
      </w:r>
    </w:p>
    <w:p>
      <w:pPr/>
      <w:r>
        <w:rPr>
          <w:b w:val="1"/>
          <w:bCs w:val="1"/>
        </w:rPr>
        <w:t xml:space="preserve">2. </w:t>
      </w:r>
      <w:r>
        <w:rPr/>
        <w:t xml:space="preserve">En l’espèce, lors du troisième tour de scrutin, une majorité de suffrages se sont exprimés en faveur d’un candidat qui avait déclaré au préalable ne pas être candidat. Le conseil municipal a alors exclu du décompte l'ensemble des suffrages exprimés en sa faveur et proclamé élu le candidat arrivé en seconde position.</w:t>
      </w:r>
    </w:p>
    <w:p>
      <w:pPr/>
      <w:r>
        <w:rPr/>
        <w:t xml:space="preserve">Mais les bulletins exprimés en faveur du conseiller municipal qui ne s'était pas déclaré candidat devaient être décomptés dans le résultat et le juge annule l’élection (CE, 18 novembre 2024, </w:t>
      </w:r>
      <w:r>
        <w:rPr>
          <w:i w:val="1"/>
          <w:iCs w:val="1"/>
        </w:rPr>
        <w:t xml:space="preserve">préfet de la Vendée</w:t>
      </w:r>
      <w:r>
        <w:rPr/>
        <w:t xml:space="preserve">, n° 494128).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89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2026-08-25T03:43:38+02:00</dcterms:created>
  <dcterms:modified xsi:type="dcterms:W3CDTF">2026-08-25T03:43:38+02:00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