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Véhicules de la police municipale.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Les véhicules de la police municipale ne peuvent pas être des véhicules banalisés : ils doivent afficher la signalisation prévue par la loi. </w:t>
      </w:r>
    </w:p>
    <w:p>
      <w:pPr/>
      <w:r>
        <w:rPr/>
        <w:t xml:space="preserve">Les véhicules de la police municipale doivent être signalés conformément à la réglementation, même s'ils sont utilisés par plusieurs services. La Cour administrative d'appel de Bordeaux a ordonné au maire de sérigraphier le véhicule de l'agent de police municipale, rejetant l'argument de la commune selon lequel l'usage partagé du véhicule justifiait une dérogation.</w:t>
      </w:r>
    </w:p>
    <w:p>
      <w:pPr/>
      <w:r>
        <w:rPr/>
        <w:t xml:space="preserve">L’arrêt précise en effet qu'« Il est enjoint au maire (...) de procéder à la mise en conformité du véhicule utilisé par le service de police municipale avec les dispositions de l’arrêté du 5 mai 2014 relatif à la signalisation des véhicules de service des agents de police municipale dans un délai de 2 mois suivant la notification du présent arrêt, sous réserve que le véhicule considéré soit toujours affecté à ce service » (CAA Bordeaux, 26 novembre 2024, </w:t>
      </w:r>
      <w:r>
        <w:rPr>
          <w:i w:val="1"/>
          <w:iCs w:val="1"/>
        </w:rPr>
        <w:t xml:space="preserve">commune de Bourg-sur-Gironde</w:t>
      </w:r>
      <w:r>
        <w:rPr/>
        <w:t xml:space="preserve">, n° 23BX00351).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4765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rdeaux.cour-administrative-appel.fr/decisions-de-justice/dernieres-decisions/les-vehicules-de-la-police-municipale-ne-peuvent-pas-etre-des-vehicules-banalises-ils-doivent-afficher-la-signalisation-prevue-par-la-l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2026-06-13T17:16:53+02:00</dcterms:created>
  <dcterms:modified xsi:type="dcterms:W3CDTF">2026-06-13T17:16:53+02:00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