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Permis de construire obtenu par fraude. Possibilité de régularisation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Lorsqu'un permis de construire a été obtenu par fraude, l'illégalité qui en résulte n'est pas de nature à être régularisée par la délivrance d'un permis de construire modificatif (CE, 18 décembre 2024, </w:t>
      </w:r>
      <w:r>
        <w:rPr>
          <w:i w:val="1"/>
          <w:iCs w:val="1"/>
        </w:rPr>
        <w:t xml:space="preserve">commune de Villennes-sur-Seine</w:t>
      </w:r>
      <w:r>
        <w:rPr/>
        <w:t xml:space="preserve">, n° 490711).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2026-08-25T22:28:22+02:00</dcterms:created>
  <dcterms:modified xsi:type="dcterms:W3CDTF">2026-08-25T22:28:22+02:00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