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Officier de l’état civil. Etablissement de l'acte. Qualité de témoin (non)</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(instruction générale relative à l’état civil du 11 mai 1999,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 du code civil</w:t>
        </w:r>
      </w:hyperlink>
      <w:r>
        <w:rPr/>
        <w:t xml:space="preserve">, comme le déclarant dans les actes de naissance et de décès, ou les époux et les témoins dans les actes de mariage.</w:t>
      </w:r>
    </w:p>
    <w:p>
      <w:pPr/>
      <w:r>
        <w:rPr/>
        <w:t xml:space="preserve">L’IGREC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w:t>
      </w:r>
    </w:p>
    <w:p>
      <w:pPr/>
      <w:r>
        <w:rPr/>
        <w:t xml:space="preserve">En revanche, dès lors qu’il n’intervient pas dans l’acte à un autre titre que celui d’officier de l’état civil, il n’y a pas lieu de distinguer suivant que l’acte concerne un membre de sa famille ou un tiers (</w:t>
      </w:r>
      <w:r>
        <w:rPr>
          <w:i w:val="1"/>
          <w:iCs w:val="1"/>
        </w:rPr>
        <w:t xml:space="preserve">JO</w:t>
      </w:r>
      <w:r>
        <w:rPr/>
        <w:t xml:space="preserve"> 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2026-06-15T13:17:21+02:00</dcterms:created>
  <dcterms:modified xsi:type="dcterms:W3CDTF">2026-06-15T13:17:21+02:00</dcterms:modified>
</cp:coreProperties>
</file>

<file path=docProps/custom.xml><?xml version="1.0" encoding="utf-8"?>
<Properties xmlns="http://schemas.openxmlformats.org/officeDocument/2006/custom-properties" xmlns:vt="http://schemas.openxmlformats.org/officeDocument/2006/docPropsVTypes"/>
</file>