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Elevages canins. Chenils. Nuisances sonores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Les élevages de chiens relèvent de la rubrique 2120 de la nomenclature des installations classées pour la protection de l'environnement (ICPE) à partir de la détention de 10 animaux. La réglementation s'appliquant à ces installations a pour but de prévenir les nuisances pour la population, notamment les niveaux de bruit engendrés.</w:t>
      </w:r>
    </w:p>
    <w:p>
      <w:pPr/>
      <w:r>
        <w:rPr/>
        <w:t xml:space="preserve">Ainsi, pour la rubrique 2120, les installations comprenant entre 10 et 50 chiens sont soumises au régime de la déclaration, entre 51 et 250 chiens à celui de l'enregistrement et au-delà au régime de l'autorisation. </w:t>
      </w:r>
    </w:p>
    <w:p>
      <w:pPr/>
      <w:r>
        <w:rPr/>
        <w:t xml:space="preserve">Un arrêté ministériel de prescriptions générales s'applique pour chacun de ces régimes. Les prescriptions imposent, pour tous les régimes, une distance de 100 mètres vis-à-vis des habitations des tiers, ainsi que des obligations à respecter vis-à-vis des niveaux de bruit admissibles. </w:t>
      </w:r>
    </w:p>
    <w:p>
      <w:pPr/>
      <w:r>
        <w:rPr>
          <w:b w:val="1"/>
          <w:bCs w:val="1"/>
        </w:rPr>
        <w:t xml:space="preserve">2. </w:t>
      </w:r>
      <w:r>
        <w:rPr/>
        <w:t xml:space="preserve">Lorsque les élevages font moins de 10 animaux, le contrôle de ces élevages relève de la police du maire, qui peut faire cesser les nuisances si elles sont de nature à causer un trouble de voisinage ou qu'elles sont susceptibles de nuire à l'environnement (</w:t>
      </w:r>
      <w:r>
        <w:rPr>
          <w:i w:val="1"/>
          <w:iCs w:val="1"/>
        </w:rPr>
        <w:t xml:space="preserve">JO </w:t>
      </w:r>
      <w:r>
        <w:rPr/>
        <w:t xml:space="preserve">Sénat, 27.02.2025, question n° 00588, p. 879).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2026-03-10T15:24:02+01:00</dcterms:created>
  <dcterms:modified xsi:type="dcterms:W3CDTF">2026-03-10T15:24:02+01:00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