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financier unique. Généralisation à compter de l'exercice budgétaire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L’ordonnance n° 2025-526 du 12 juin 2025 généralise le compte financier unique à toutes les entités publiques locales concernées d’ici 2026. Elle harmonise les régimes budgétaires et comptables sur le modèle des métropoles, tout en maintenant les spécificités propres à chaque type d’entité.</w:t>
      </w:r>
    </w:p>
    <w:p>
      <w:pPr/>
      <w:r>
        <w:rPr/>
        <w:t xml:space="preserve">Les dispositions de l'ordonnance s'appliquent à compter de l'exercice budgétaire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2026-03-10T13:52:27+01:00</dcterms:created>
  <dcterms:modified xsi:type="dcterms:W3CDTF">2026-03-10T13:52:27+01:00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