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anti-pesticides. Incompétence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police spéciale des produits phytopharmaceutiques est confiée exclusivement à l’État. Les préfets sont compétents localement dans ce cadre. Le maire ne peut édicter une réglementation portant sur les conditions générales d’utilisation de ces produits et un arrêté municipal visant à réglementer l’utilisation de ces produits est donc pris par une autorité incompétente.</w:t>
      </w:r>
    </w:p>
    <w:p>
      <w:pPr/>
      <w:r>
        <w:rPr/>
        <w:t xml:space="preserve">Les produits phytopharmaceutiques disséminés lors de leur utilisation ne constituent pas des déchets permettant au maire d’intervenir (CE, 16 juin 2025, n° 490161).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2026-01-23T03:33:41+01:00</dcterms:created>
  <dcterms:modified xsi:type="dcterms:W3CDTF">2026-01-23T03:33:41+01:00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