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(TEOM). Exonération pour éloignement du point de collecte (non)</w:t>
      </w:r>
    </w:p>
    <w:p>
      <w:pPr>
        <w:pStyle w:val="Heading2"/>
      </w:pPr>
      <w:r>
        <w:rPr/>
        <w:t xml:space="preserve">Revue - Intercommunalité</w:t>
      </w:r>
    </w:p>
    <w:p>
      <w:pPr>
        <w:pStyle w:val="Heading3"/>
      </w:pPr>
      <w:r>
        <w:rPr/>
        <w:t xml:space="preserve">Source - Jurisprudence</w:t>
      </w:r>
    </w:p>
    <w:p/>
    <w:p>
      <w:pPr/>
      <w:hyperlink r:id="rId7" w:history="1">
        <w:r>
          <w:rPr/>
          <w:t xml:space="preserve">L’article 1520</w:t>
        </w:r>
      </w:hyperlink>
      <w:r>
        <w:rPr/>
        <w:t xml:space="preserve"> du code général des impôts (CGI) autorise les communes à instituer la taxe d’enlèvement des ordures ménagères (TEOM). </w:t>
      </w:r>
      <w:hyperlink r:id="rId8" w:history="1">
        <w:r>
          <w:rPr/>
          <w:t xml:space="preserve">L’article 1521</w:t>
        </w:r>
      </w:hyperlink>
      <w:r>
        <w:rPr/>
        <w:t xml:space="preserve"> du CGI précise que les locaux situés dans une zone où le service de collecte ne fonctionne pas sont en principe exonérés, sauf délibération contraire de la commune ou de son groupement.</w:t>
      </w:r>
    </w:p>
    <w:p>
      <w:pPr/>
      <w:r>
        <w:rPr/>
        <w:t xml:space="preserve">En l'espèce, M. et Mme B. ont demandé la décharge de la TEOM 2023 car le point de collecte est situé à 902 mètres de leur propriété. En vertu des articles 1520 et 1521 du CGI, la communauté de communes a supprimé l’exonération dans les secteurs éloignés par délibération. L’éloignement ou la dangerosité de la route ne constituent pas un motif légal d’exonération. Le service de collecte est considéré comme existant même en cas d’éloignement car les requérants bénéficient du traitement des déchets. Le principe d’égalité des usagers est respecté. Leur demande de décharge de la TEOM est rejetée (TA Toulon, 18 juin 2025, </w:t>
      </w:r>
      <w:r>
        <w:rPr>
          <w:i w:val="1"/>
          <w:iCs w:val="1"/>
        </w:rPr>
        <w:t xml:space="preserve">communauté de communes Dracénie Provence Verdon</w:t>
      </w:r>
      <w:r>
        <w:rPr/>
        <w:t xml:space="preserve">, n° 2401650).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31816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2026-03-10T15:06:08+01:00</dcterms:created>
  <dcterms:modified xsi:type="dcterms:W3CDTF">2026-03-10T15:06:08+01:00</dcterms:modified>
</cp:coreProperties>
</file>

<file path=docProps/custom.xml><?xml version="1.0" encoding="utf-8"?>
<Properties xmlns="http://schemas.openxmlformats.org/officeDocument/2006/custom-properties" xmlns:vt="http://schemas.openxmlformats.org/officeDocument/2006/docPropsVTypes"/>
</file>