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incomplète. Distinction entre documents manquants et informations manquantes pour apprécier l’offre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collectivité est tenue d'éliminer les offres incomplètes, c'est-à-dire celles qui ne comportent pas toutes les pièces ou renseignements requis par les documents de la consultation et sont, pour ce motif, irrégulières.</w:t>
      </w:r>
    </w:p>
    <w:p>
      <w:pPr/>
      <w:r>
        <w:rPr/>
        <w:t xml:space="preserve">De plus, le règlement de consultation peut prévoir la communication, par les candidats, d'éléments d'information qui sont utiles à la collectivité pour lui permettre d'apprécier les offres et dont l'absence justifie une note nulle au regard du critère en cause.</w:t>
      </w:r>
    </w:p>
    <w:p>
      <w:pPr/>
      <w:r>
        <w:rPr/>
        <w:t xml:space="preserve">L’offre n’est pas irrégulière lorsque les documents ne sont exigés que pour l'appréciation de la valeur de l'offre et non comme condition de sa recevabilité.</w:t>
      </w:r>
    </w:p>
    <w:p>
      <w:pPr/>
      <w:r>
        <w:rPr/>
        <w:t xml:space="preserve">En l'espèce, le Conseil d’État annule l'ordonnance du juge des référés ayant écarté à tort l’offre d'une société comme irrégulière au motif qu’elle ne détaillait pas ses méthodes d’intervention, alors que ces informations relevaient seulement des critères d’évaluation (CE, 3 juillet 2025, </w:t>
      </w:r>
      <w:r>
        <w:rPr>
          <w:i w:val="1"/>
          <w:iCs w:val="1"/>
        </w:rPr>
        <w:t xml:space="preserve">société Colas Mayotte</w:t>
      </w:r>
      <w:r>
        <w:rPr/>
        <w:t xml:space="preserve">, n° 501774).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2026-08-24T21:24:03+02:00</dcterms:created>
  <dcterms:modified xsi:type="dcterms:W3CDTF">2026-08-24T21:24:03+02:00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