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Implantation de conteneurs à ordures. Réglementation. Pouvoir de police spéciale</w:t>
      </w:r>
    </w:p>
    <w:p>
      <w:pPr>
        <w:pStyle w:val="Heading2"/>
      </w:pPr>
      <w:r>
        <w:rPr/>
        <w:t xml:space="preserve">Revue - Intercommunalité</w:t>
      </w:r>
    </w:p>
    <w:p>
      <w:pPr>
        <w:pStyle w:val="Heading3"/>
      </w:pPr>
      <w:r>
        <w:rPr/>
        <w:t xml:space="preserve">Source - JO AN - JO Sénat</w:t>
      </w:r>
    </w:p>
    <w:p/>
    <w:p>
      <w:pPr/>
      <w:r>
        <w:rPr/>
        <w:t xml:space="preserve">Aucune distance minimale nationale n’est fixée pour l’implantation des conteneurs à ordures ou des points d’apport volontaire. Leur localisation relève des collectivités territoriales, et plus précisément des EPCI à fiscalité propre, compétents pour la collecte et le traitement des déchets ménagers. Les communes ou EPCI peuvent ainsi établir des règlements locaux déterminant les modalités de collecte adaptées à leur territoire.</w:t>
      </w:r>
    </w:p>
    <w:p>
      <w:pPr/>
      <w:r>
        <w:rPr/>
        <w:t xml:space="preserve">Le président de l’EPCI, ou le maire en cas d’opposition au transfert, dispose d’un pouvoir de police spéciale pour fixer, par arrêté motivé et après avis de l’organe délibérant, les modalités de collecte, y compris les lieux d’implantation des conteneurs (art. </w:t>
      </w:r>
      <w:hyperlink r:id="rId7" w:history="1">
        <w:r>
          <w:rPr/>
          <w:t xml:space="preserve">L 2224-16</w:t>
        </w:r>
      </w:hyperlink>
      <w:r>
        <w:rPr/>
        <w:t xml:space="preserve"> et </w:t>
      </w:r>
      <w:hyperlink r:id="rId8" w:history="1">
        <w:r>
          <w:rPr/>
          <w:t xml:space="preserve">R 2224-26</w:t>
        </w:r>
      </w:hyperlink>
      <w:r>
        <w:rPr/>
        <w:t xml:space="preserve"> du CGCT). Ces décisions doivent concilier efficacité du service public et respect des règles d’hygiène et de salubrité définies par les articles </w:t>
      </w:r>
      <w:hyperlink r:id="rId9" w:history="1">
        <w:r>
          <w:rPr/>
          <w:t xml:space="preserve">R 1331-51</w:t>
        </w:r>
      </w:hyperlink>
      <w:r>
        <w:rPr/>
        <w:t xml:space="preserve"> et </w:t>
      </w:r>
      <w:hyperlink r:id="rId10" w:history="1">
        <w:r>
          <w:rPr/>
          <w:t xml:space="preserve">R 1331-52</w:t>
        </w:r>
      </w:hyperlink>
      <w:r>
        <w:rPr/>
        <w:t xml:space="preserve"> du code de la santé publique, imposant de limiter les nuisances pour le voisinage.</w:t>
      </w:r>
    </w:p>
    <w:p>
      <w:pPr/>
      <w:r>
        <w:rPr/>
        <w:t xml:space="preserve">En cas de litige, le juge administratif apprécie la légalité des implantations au regard du contexte local et du préjudice subi par les riverains. Il a, par exemple, reconnu le caractère nuisible d’un point de collecte composé de plusieurs conteneurs placés à seulement 4 mètres de la fenêtre d’un logement (TA Toulon, 9 janvier 2025, </w:t>
      </w:r>
      <w:hyperlink r:id="rId11" w:history="1">
        <w:r>
          <w:rPr/>
          <w:t xml:space="preserve">n° 2202128</w:t>
        </w:r>
      </w:hyperlink>
      <w:r>
        <w:rPr/>
        <w:t xml:space="preserve">) (</w:t>
      </w:r>
      <w:r>
        <w:rPr>
          <w:i w:val="1"/>
          <w:iCs w:val="1"/>
        </w:rPr>
        <w:t xml:space="preserve">JO </w:t>
      </w:r>
      <w:r>
        <w:rPr/>
        <w:t xml:space="preserve">Sénat, 24.07.2025, question n° 05218, p. 4280).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2176177" TargetMode="External"/><Relationship Id="rId8" Type="http://schemas.openxmlformats.org/officeDocument/2006/relationships/hyperlink" Target="https://www.legifrance.gouv.fr/codes/article_lc/LEGIARTI000032191635" TargetMode="External"/><Relationship Id="rId9" Type="http://schemas.openxmlformats.org/officeDocument/2006/relationships/hyperlink" Target="https://www.legifrance.gouv.fr/codes/article_lc/LEGIARTI000047945390" TargetMode="External"/><Relationship Id="rId10" Type="http://schemas.openxmlformats.org/officeDocument/2006/relationships/hyperlink" Target="https://www.legifrance.gouv.fr/codes/article_lc/LEGIARTI000047945394/2025-10-14" TargetMode="External"/><Relationship Id="rId11" Type="http://schemas.openxmlformats.org/officeDocument/2006/relationships/hyperlink" Target="https://opendata.justice-administrative.fr/recherche/shareFile/TA83/DTA_2202128_20250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2026-03-10T13:43:41+01:00</dcterms:created>
  <dcterms:modified xsi:type="dcterms:W3CDTF">2026-03-10T13:43:41+01:00</dcterms:modified>
</cp:coreProperties>
</file>

<file path=docProps/custom.xml><?xml version="1.0" encoding="utf-8"?>
<Properties xmlns="http://schemas.openxmlformats.org/officeDocument/2006/custom-properties" xmlns:vt="http://schemas.openxmlformats.org/officeDocument/2006/docPropsVTypes"/>
</file>