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Impayés de cantine. Saisie des allocations familiales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En l’absence de recouvrement amiable, le comptable diligente des mesures de recouvrement forcé et effectue, notamment, des saisies administratives à tiers détenteur des établissements bancaires ou encore de la Caisse nationale d’allocations familiales, conformément aux dispositions de </w:t>
      </w:r>
      <w:hyperlink r:id="rId7" w:history="1">
        <w:r>
          <w:rPr/>
          <w:t xml:space="preserve">l’article L 1617-5</w:t>
        </w:r>
      </w:hyperlink>
      <w:r>
        <w:rPr/>
        <w:t xml:space="preserve"> du CGCT.</w:t>
      </w:r>
    </w:p>
    <w:p>
      <w:pPr/>
      <w:r>
        <w:rPr/>
        <w:t xml:space="preserve">En application de </w:t>
      </w:r>
      <w:hyperlink r:id="rId8" w:history="1">
        <w:r>
          <w:rPr/>
          <w:t xml:space="preserve">l’article L 553-4</w:t>
        </w:r>
      </w:hyperlink>
      <w:r>
        <w:rPr/>
        <w:t xml:space="preserve"> du code de la sécurité sociale, les prestations familiales peuvent être saisies pour le paiement des dettes alimentaires liées à l’entretien des enfants, lesquelles recouvrent, par exemple, les frais de cantine scolaire.</w:t>
      </w:r>
    </w:p>
    <w:p>
      <w:pPr/>
      <w:r>
        <w:rPr/>
        <w:t xml:space="preserve">Ainsi, les comptables publics pratiquent d’ores et déjà la saisie des allocations familiales afin de recouvrer les impayés liés à la cantine, dans la limite de la part saisissable définie par la réglementation, ce qui ne permet pas toujours de combler les restes à recouvrer (</w:t>
      </w:r>
      <w:r>
        <w:rPr>
          <w:i w:val="1"/>
          <w:iCs w:val="1"/>
        </w:rPr>
        <w:t xml:space="preserve">JO </w:t>
      </w:r>
      <w:r>
        <w:rPr/>
        <w:t xml:space="preserve">Sénat, 21.08.2025, question n° 04737, p. 4575).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914550" TargetMode="External"/><Relationship Id="rId8" Type="http://schemas.openxmlformats.org/officeDocument/2006/relationships/hyperlink" Target="https://www.legifrance.gouv.fr/codes/article_lc/LEGIARTI00004139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2026-04-29T12:39:09+02:00</dcterms:created>
  <dcterms:modified xsi:type="dcterms:W3CDTF">2026-04-29T12:39:09+02:00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