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Signature mixte d’un marché. Signature électronique et manuscrite. Validité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ne résulte ni de </w:t>
      </w:r>
      <w:hyperlink r:id="rId7" w:history="1">
        <w:r>
          <w:rPr/>
          <w:t xml:space="preserve">l'article R 2182-3</w:t>
        </w:r>
      </w:hyperlink>
      <w:r>
        <w:rPr/>
        <w:t xml:space="preserve"> du code de la commande publique, ni d'aucune autre disposition législative ou réglementaire, en particulier de </w:t>
      </w:r>
      <w:hyperlink r:id="rId8" w:history="1">
        <w:r>
          <w:rPr/>
          <w:t xml:space="preserve">l'arrêté du 22 mars 2019</w:t>
        </w:r>
      </w:hyperlink>
      <w:r>
        <w:rPr/>
        <w:t xml:space="preserve"> relatif à la signature électronique des contrats de la commande publique, qu'un contrat signé électroniquement par l'une des parties ne pourrait pas être signé de façon manuscrite par l'autre partie.</w:t>
      </w:r>
    </w:p>
    <w:p>
      <w:pPr/>
      <w:r>
        <w:rPr/>
        <w:t xml:space="preserve">En l'espèce, le règlement de la consultation imposait uniquement la signature électronique du contrat par l'attributaire, le représentant de la commune pouvait donc le signer de manière manuscrite (CE, 2 octobre 2025, </w:t>
      </w:r>
      <w:r>
        <w:rPr>
          <w:i w:val="1"/>
          <w:iCs w:val="1"/>
        </w:rPr>
        <w:t xml:space="preserve">SFRS</w:t>
      </w:r>
      <w:r>
        <w:rPr/>
        <w:t xml:space="preserve">, n° 501204).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29985" TargetMode="External"/><Relationship Id="rId8" Type="http://schemas.openxmlformats.org/officeDocument/2006/relationships/hyperlink" Target="https://www.legifrance.gouv.fr/loda/id/JORFTEXT000038318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2026-01-23T03:33:48+01:00</dcterms:created>
  <dcterms:modified xsi:type="dcterms:W3CDTF">2026-01-23T03:33:48+01:00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