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Infraction en matière d’urbanisme. Obligation du maire de dresser un procès-verbal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Obligation légale du maire en matière d’infractions d’urbanisme. </w:t>
      </w:r>
      <w:r>
        <w:rPr/>
        <w:t xml:space="preserve">Selon </w:t>
      </w:r>
      <w:hyperlink r:id="rId7" w:history="1">
        <w:r>
          <w:rPr/>
          <w:t xml:space="preserve">l’article L 480-1</w:t>
        </w:r>
      </w:hyperlink>
      <w:r>
        <w:rPr/>
        <w:t xml:space="preserve"> du code de l’urbanisme, le maire (ou l’autorité compétente) est tenu de faire dresser un procès-verbal lorsqu’il a connaissance d’une infraction aux règles d’urbanisme mentionnées à </w:t>
      </w:r>
      <w:hyperlink r:id="rId8" w:history="1">
        <w:r>
          <w:rPr/>
          <w:t xml:space="preserve">l’article L 480-4</w:t>
        </w:r>
      </w:hyperlink>
      <w:r>
        <w:rPr/>
        <w:t xml:space="preserve">, et d’en transmettre copie au ministère public. </w:t>
      </w:r>
    </w:p>
    <w:p>
      <w:pPr/>
      <w:r>
        <w:rPr>
          <w:b w:val="1"/>
          <w:bCs w:val="1"/>
        </w:rPr>
        <w:t xml:space="preserve">Caractère permanent de l’obligation.</w:t>
      </w:r>
      <w:r>
        <w:rPr/>
        <w:t xml:space="preserve"> Cette obligation ne s’éteint ni avec le temps ni du fait d’une régularisation ultérieure des travaux : même si une autorisation est délivrée après coup, l’infraction initiale demeure et doit être portée à la connaissance du parquet. </w:t>
      </w:r>
    </w:p>
    <w:p>
      <w:pPr/>
      <w:r>
        <w:rPr>
          <w:b w:val="1"/>
          <w:bCs w:val="1"/>
        </w:rPr>
        <w:t xml:space="preserve">Date de référence pour le contrôle du juge. </w:t>
      </w:r>
      <w:r>
        <w:rPr/>
        <w:t xml:space="preserve">Pour apprécier la légalité du refus du maire de dresser un procès-verbal, le juge doit se placer à la date de la décision de refus, et non à celle de son propre jugement. </w:t>
      </w:r>
    </w:p>
    <w:p>
      <w:pPr/>
      <w:r>
        <w:rPr>
          <w:b w:val="1"/>
          <w:bCs w:val="1"/>
        </w:rPr>
        <w:t xml:space="preserve">Conséquences de l’annulation du refus.</w:t>
      </w:r>
      <w:r>
        <w:rPr/>
        <w:t xml:space="preserve"> Si le juge annule le refus du maire, constatant qu’une infraction existait à la date du refus, il doit ordonner au maire d’établir le procès-verbal et de le transmettre au ministère public, sauf si l’action publique est prescrite au moment où le juge statue (CE Avis, 2 octobre 2025, n° 503737).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2654653" TargetMode="External"/><Relationship Id="rId8" Type="http://schemas.openxmlformats.org/officeDocument/2006/relationships/hyperlink" Target="https://www.legifrance.gouv.fr/codes/article_lc/LEGIARTI000049398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2026-03-10T15:31:31+01:00</dcterms:created>
  <dcterms:modified xsi:type="dcterms:W3CDTF">2026-03-10T15:31:31+01:00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