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professionnel annuel. Délai de convocation et présence d’un tiers. Vice de forme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L’entretien professionnel annuel des fonctionnaires est conduit par le supérieur hiérarchique direct. Le compte rendu est établi et signé par le supérieur direct et seulement visé par l’autorité hiérarchique.</w:t>
      </w:r>
    </w:p>
    <w:p>
      <w:pPr/>
      <w:r>
        <w:rPr/>
        <w:t xml:space="preserve">Le délai de convocation de 8 jours est exigé, mais un vice de procédure n'altère la décision que s’il a privé l’agent d’une garantie ou a pu influer sur le sens de l’évaluation.</w:t>
      </w:r>
    </w:p>
    <w:p>
      <w:pPr/>
      <w:r>
        <w:rPr/>
        <w:t xml:space="preserve">La présence d’un tiers simple observateur n’est pas en soi illicite si elle n’a pas d’incidence effective et peut être justifiée dans un contexte conflictuel (CAA Bordeaux, 7 octobre 2025, n° 23BX03179).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2026-04-30T13:44:38+02:00</dcterms:created>
  <dcterms:modified xsi:type="dcterms:W3CDTF">2026-04-30T13:44:38+02:00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