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 d’urbanisme. Sursis à statuer. Futur PLU. Justification concrète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hyperlink r:id="rId7" w:history="1">
        <w:r>
          <w:rPr/>
          <w:t xml:space="preserve">L’article L 410-1</w:t>
        </w:r>
      </w:hyperlink>
      <w:r>
        <w:rPr/>
        <w:t xml:space="preserve"> du code de l’urbanisme impose que, lorsqu’un certificat d’urbanisme mentionne la possibilité d’un sursis à statuer, il doit seulement préciser la ou les circonstances prévues par </w:t>
      </w:r>
      <w:hyperlink r:id="rId8" w:history="1">
        <w:r>
          <w:rPr/>
          <w:t xml:space="preserve">l’article L 424-1</w:t>
        </w:r>
      </w:hyperlink>
      <w:r>
        <w:rPr/>
        <w:t xml:space="preserve"> permettant de l’opposer. L’administration n’a pas à expliquer en quoi le futur PLU affecterait précisément la parcelle, dès lors qu’une des conditions légales du sursis est remplie à la date du certificat.</w:t>
      </w:r>
    </w:p>
    <w:p>
      <w:pPr/>
      <w:r>
        <w:rPr>
          <w:b w:val="1"/>
          <w:bCs w:val="1"/>
        </w:rPr>
        <w:t xml:space="preserve">2. </w:t>
      </w:r>
      <w:r>
        <w:rPr/>
        <w:t xml:space="preserve">En l’espèce, le certificat d’urbanisme mentionnait la possibilité d’un sursis à statuer en raison de l’élaboration du futur PLU. La cour administrative d’appel avait annulé cette mention, estimant qu’il fallait détailler l’impact concret du futur PLU sur la parcelle.</w:t>
      </w:r>
    </w:p>
    <w:p>
      <w:pPr/>
      <w:r>
        <w:rPr/>
        <w:t xml:space="preserve">Le Conseil d'État juge au contraire qu’il suffit d’indiquer la base légale du sursis, annule l’arrêt d’appel et donne raison à la commune (CE, 14 novembre 2025, n° 493524).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667619" TargetMode="External"/><Relationship Id="rId8" Type="http://schemas.openxmlformats.org/officeDocument/2006/relationships/hyperlink" Target="https://www.legifrance.gouv.fr/codes/article_lc/LEGIARTI000043978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2026-04-28T04:39:58+02:00</dcterms:created>
  <dcterms:modified xsi:type="dcterms:W3CDTF">2026-04-28T04:39:58+02:00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