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Prescriptions du PLU. Obligations en matière de matériaux</w:t>
      </w:r>
    </w:p>
    <w:p>
      <w:pPr>
        <w:pStyle w:val="Heading2"/>
      </w:pPr>
      <w:r>
        <w:rPr/>
        <w:t xml:space="preserve">Revue - Urbanisme</w:t>
      </w:r>
    </w:p>
    <w:p>
      <w:pPr>
        <w:pStyle w:val="Heading3"/>
      </w:pPr>
      <w:r>
        <w:rPr/>
        <w:t xml:space="preserve">Source - JO AN - JO Sénat</w:t>
      </w:r>
    </w:p>
    <w:p/>
    <w:p>
      <w:pPr/>
      <w:r>
        <w:rPr/>
        <w:t xml:space="preserve">Aucune disposition du code de l’urbanisme ne prévoit expressément la possibilité de fixer dans le règlement du plan local d’urbanisme (PLU) des obligations en matière de matériaux. La possibilité d’autoriser ou d’interdire certains matériaux n’est prévue par le code de l’urbanisme qu’en ce qui concerne les plans de sauvegarde et de mise en valeur (PSMV) qui tiennent lieu de PLU dans les sites patrimoniaux remarquables qu’ils concernent.</w:t>
      </w:r>
    </w:p>
    <w:p>
      <w:pPr/>
      <w:r>
        <w:rPr/>
        <w:t xml:space="preserve">En dehors de ces secteurs faisant l’objet d’une protection particulière, seul l’aspect du revêtement de la construction pourra être réglementé sans pouvoir strictement imposer un matériau (</w:t>
      </w:r>
      <w:r>
        <w:rPr>
          <w:i w:val="1"/>
          <w:iCs w:val="1"/>
        </w:rPr>
        <w:t xml:space="preserve">JO </w:t>
      </w:r>
      <w:r>
        <w:rPr/>
        <w:t xml:space="preserve">Sénat, 21.08.2025, question n° 05213, p. 4560).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2026-01-23T03:33:46+01:00</dcterms:created>
  <dcterms:modified xsi:type="dcterms:W3CDTF">2026-01-23T03:33:46+01:00</dcterms:modified>
</cp:coreProperties>
</file>

<file path=docProps/custom.xml><?xml version="1.0" encoding="utf-8"?>
<Properties xmlns="http://schemas.openxmlformats.org/officeDocument/2006/custom-properties" xmlns:vt="http://schemas.openxmlformats.org/officeDocument/2006/docPropsVTypes"/>
</file>