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Contrôle périodique</w:t>
      </w:r>
    </w:p>
    <w:p>
      <w:pPr>
        <w:pStyle w:val="Heading2"/>
      </w:pPr>
      <w:r>
        <w:rPr/>
        <w:t xml:space="preserve">Revue - Intercommunalité</w:t>
      </w:r>
    </w:p>
    <w:p>
      <w:pPr>
        <w:pStyle w:val="Heading3"/>
      </w:pPr>
      <w:r>
        <w:rPr/>
        <w:t xml:space="preserve">Source - JO AN - JO Sénat</w:t>
      </w:r>
    </w:p>
    <w:p/>
    <w:p>
      <w:pPr/>
      <w:r>
        <w:rPr/>
        <w:t xml:space="preserve">Le contrôle des installations d’assainissement non collectif relève des communes ou de leurs groupements, via le service public d’assainissement non collectif (SPANC). Ce service a pour mission de vérifier la conception, la réalisation, la réhabilitation, le fonctionnement et l’entretien des installations, selon une périodicité fixée par la commune qui ne peut excéder 10 ans (</w:t>
      </w:r>
      <w:hyperlink r:id="rId7" w:history="1">
        <w:r>
          <w:rPr/>
          <w:t xml:space="preserve">art. L 2224-8, III</w:t>
        </w:r>
      </w:hyperlink>
      <w:r>
        <w:rPr/>
        <w:t xml:space="preserve"> du CGCT).</w:t>
      </w:r>
    </w:p>
    <w:p>
      <w:pPr/>
      <w:r>
        <w:rPr/>
        <w:t xml:space="preserve">Le financement du SPANC repose sur des redevances payées par les usagers pour le service rendu, incluant le contrôle et éventuellement l’entretien ou les travaux de réhabilitation des installations, que le SPANC peut réaliser avec l’accord du propriétaire. Ces sommes sont recouvrées au profit du budget du service, la facturation se faisant au nom du titulaire de l’abonnement d’eau ou, à défaut, du propriétaire de l’immeuble (</w:t>
      </w:r>
      <w:hyperlink r:id="rId8" w:history="1">
        <w:r>
          <w:rPr/>
          <w:t xml:space="preserve">art. L 2224-12-2</w:t>
        </w:r>
      </w:hyperlink>
      <w:r>
        <w:rPr/>
        <w:t xml:space="preserve"> et </w:t>
      </w:r>
      <w:hyperlink r:id="rId9" w:history="1">
        <w:r>
          <w:rPr/>
          <w:t xml:space="preserve">R 2224-19-8</w:t>
        </w:r>
      </w:hyperlink>
      <w:r>
        <w:rPr/>
        <w:t xml:space="preserve"> du CGCT).</w:t>
      </w:r>
    </w:p>
    <w:p>
      <w:pPr/>
      <w:r>
        <w:rPr/>
        <w:t xml:space="preserve">Le coût des travaux ou du contrôle n’est pas supporté par la commune ou le groupement compétent. Pour aider les particuliers, des mesures sociales et des tarifs adaptés peuvent être appliqués par les services d’eau et d’assainissement, et des aides financières peuvent être sollicitées auprès d’agences publiques, de l’ANAH, des collectivités locales ou d’autres organismes pour réduire le reste à charge lors de la mise aux normes ou de la réhabilitation des installations (</w:t>
      </w:r>
      <w:hyperlink r:id="rId10" w:history="1">
        <w:r>
          <w:rPr/>
          <w:t xml:space="preserve">art. L 2224-12-1-1</w:t>
        </w:r>
      </w:hyperlink>
      <w:r>
        <w:rPr/>
        <w:t xml:space="preserve"> du CGCT) (</w:t>
      </w:r>
      <w:r>
        <w:rPr>
          <w:i w:val="1"/>
          <w:iCs w:val="1"/>
        </w:rPr>
        <w:t xml:space="preserve">JO </w:t>
      </w:r>
      <w:r>
        <w:rPr/>
        <w:t xml:space="preserve">Sénat, 20.11.2025, question n° 02277, p. 5753).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22495934/2025-12-10" TargetMode="External"/><Relationship Id="rId9" Type="http://schemas.openxmlformats.org/officeDocument/2006/relationships/hyperlink" Target="https://www.legifrance.gouv.fr/codes/article_lc/LEGIARTI000006396215" TargetMode="External"/><Relationship Id="rId10" Type="http://schemas.openxmlformats.org/officeDocument/2006/relationships/hyperlink" Target="https://www.legifrance.gouv.fr/codes/article_lc/LEGIARTI000039776611/2025-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2026-03-10T13:35:15+01:00</dcterms:created>
  <dcterms:modified xsi:type="dcterms:W3CDTF">2026-03-10T13:35:15+01:00</dcterms:modified>
</cp:coreProperties>
</file>

<file path=docProps/custom.xml><?xml version="1.0" encoding="utf-8"?>
<Properties xmlns="http://schemas.openxmlformats.org/officeDocument/2006/custom-properties" xmlns:vt="http://schemas.openxmlformats.org/officeDocument/2006/docPropsVTypes"/>
</file>