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Halles et marchés. Exclusion d’un commerçant pour emploi salarié non déclaré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dispose des pouvoirs de police sur les marchés (</w:t>
      </w:r>
      <w:hyperlink r:id="rId7" w:history="1">
        <w:r>
          <w:rPr/>
          <w:t xml:space="preserve">art. L 2212-2</w:t>
        </w:r>
      </w:hyperlink>
      <w:r>
        <w:rPr/>
        <w:t xml:space="preserve"> du CGCT), mais la mesure prise doit être proportionnée aux faits reprochés.</w:t>
      </w:r>
    </w:p>
    <w:p>
      <w:pPr/>
      <w:r>
        <w:rPr/>
        <w:t xml:space="preserve">La cour juge disproportionnée et fautive l’exclusion définitive d’un commerçant, sans procédure contradictoire, prise pour l’emploi d’un salarié non déclaré alors que le commerçant a régularisé la situation par son embauche.</w:t>
      </w:r>
    </w:p>
    <w:p>
      <w:pPr/>
      <w:r>
        <w:rPr/>
        <w:t xml:space="preserve">Cette illégalité engage la responsabilité de la commune, qui doit lui verser 25 874 € pour perte de marge bénéficiaire et préjudice moral, avec intérêts. Les autres demandes d’indemnisation, notamment pour préjudice commercial et gestion fautive des marchés, sont rejetées (CAA Versailles, 27 novembre 2025, </w:t>
      </w:r>
      <w:r>
        <w:rPr>
          <w:i w:val="1"/>
          <w:iCs w:val="1"/>
        </w:rPr>
        <w:t xml:space="preserve">commune de Boulogne-Billancourt</w:t>
      </w:r>
      <w:r>
        <w:rPr/>
        <w:t xml:space="preserve">, n° 24VE00636).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2026-06-13T15:33:45+02:00</dcterms:created>
  <dcterms:modified xsi:type="dcterms:W3CDTF">2026-06-13T15:33:45+02:00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