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Discothèques. Réglementation des horaires d'ouverture par le maire. Troubles nocturnes récurrents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 peut, au titre de ses pouvoirs de police, limiter les horaires d’ouverture des débits de boissons et discothèques pour prévenir des troubles graves et répétés à l’ordre public, à condition que la mesure soit motivée, limitée dans le temps et proportionnée, sans porter d’atteinte discriminatoire à la liberté du commerce et de l’industrie.</w:t>
      </w:r>
    </w:p>
    <w:p>
      <w:pPr/>
      <w:r>
        <w:rPr/>
        <w:t xml:space="preserve">En l'espèce, une discothèque contestait un arrêté municipal limitant son heure de fermeture à 4 h du matin en raison de troubles nocturnes récurrents.</w:t>
      </w:r>
    </w:p>
    <w:p>
      <w:pPr/>
      <w:r>
        <w:rPr/>
        <w:t xml:space="preserve">Le tribunal constate l’existence de nuisances, rixes et infractions répétées, principalement après 4 h, justifiant l’intervention du maire.</w:t>
      </w:r>
    </w:p>
    <w:p>
      <w:pPr/>
      <w:r>
        <w:rPr/>
        <w:t xml:space="preserve">L’arrêté, limité dans le temps et ciblé géographiquement, est jugé proportionné et non discriminatoire. La requête est rejetée (TA Strasbourg, 18 novembre 2025, </w:t>
      </w:r>
      <w:r>
        <w:rPr>
          <w:i w:val="1"/>
          <w:iCs w:val="1"/>
        </w:rPr>
        <w:t xml:space="preserve">commune de Metz</w:t>
      </w:r>
      <w:r>
        <w:rPr/>
        <w:t xml:space="preserve">, n° 2307510).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2026-04-28T00:41:07+02:00</dcterms:created>
  <dcterms:modified xsi:type="dcterms:W3CDTF">2026-04-28T00:41:07+02:00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