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Nouveau statut de l’élu local. Loi n° 2025-1249 du 22 décembre 2025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La loi n° 2025-1249 du 22 décembre 2025 portant création d'un statut de l'élu local a été publiée au </w:t>
      </w:r>
      <w:r>
        <w:rPr>
          <w:i w:val="1"/>
          <w:iCs w:val="1"/>
        </w:rPr>
        <w:t xml:space="preserve">JO</w:t>
      </w:r>
      <w:r>
        <w:rPr/>
        <w:t xml:space="preserve"> du 23 décembre 2025. Elle vise à renforcer l’attractivité des mandats locaux. Elle augmente notamment les indemnités de fonction, améliore les conditions d’exercice des mandats et facilite le retour à la vie professionnelle des élus.</w:t>
      </w:r>
    </w:p>
    <w:p>
      <w:pPr/>
      <w:r>
        <w:rPr/>
        <w:t xml:space="preserve">Voici quelques éléments à relever :</w:t>
      </w:r>
    </w:p>
    <w:p>
      <w:pPr/>
      <w:r>
        <w:rPr/>
        <w:t xml:space="preserve">- augmentation de la durée du congé électif qui passe de 10 à 20 jours pour les salariés candidats à l’ensemble des élections locales (art. L 3142-79.du code du travail) ;</w:t>
      </w:r>
      <w:br/>
      <w:r>
        <w:rPr/>
        <w:t xml:space="preserve">- amélioration de l’information des candidats aux élections locales : offre gratuite dématérialisée de modules d’informations élémentaires sur les mandats locaux, session d’information proposée dans les 6 premiers mois du mandat (art. L 1221-5 du CGCT) ;</w:t>
      </w:r>
      <w:br/>
      <w:r>
        <w:rPr/>
        <w:t xml:space="preserve">- facilitation de l’accès aux fonctions locales d’élus étudiants ou en situation de handicap (remboursements de frais de déplacement, d’aménagement du poste de travail ; art. L 2123-18-1 et s. du CGCT) ;</w:t>
      </w:r>
      <w:br/>
      <w:r>
        <w:rPr/>
        <w:t xml:space="preserve">- revalorisation du montant maximal des indemnités de fonction des maires et de leurs adjoints dans les communes de moins de 20 000 habitants (art. L 2123-24 du CGCT) ;</w:t>
      </w:r>
      <w:br/>
      <w:r>
        <w:rPr/>
        <w:t xml:space="preserve">- élargissement du remboursement de certains frais spécifiques (transport, représentation) par la collectivité (art. L 2123-18-2 du CGCT) ;</w:t>
      </w:r>
      <w:br/>
      <w:r>
        <w:rPr/>
        <w:t xml:space="preserve">- congé de formation porté à 24 jours par mandat (art. L 2123-13 du CGCT) ;</w:t>
      </w:r>
      <w:br/>
      <w:r>
        <w:rPr/>
        <w:t xml:space="preserve">- création d’un label « Employeur partenaire de la démocratie locale » valorisant l’engagement des entreprises employant des élus locaux (art. L 1621-6 du CGCT) ;</w:t>
      </w:r>
      <w:br/>
      <w:r>
        <w:rPr/>
        <w:t xml:space="preserve">- instauration d’un statut de l’élu étudiant avec des aménagements spécifiques dans l’organisation et le déroulement de la scolarité (art. L 611-11 du code de l’éducation) ;</w:t>
      </w:r>
      <w:br/>
      <w:r>
        <w:rPr/>
        <w:t xml:space="preserve">- recours élargi à la visioconférence pour les réunions (art. L 2121-22-1 A pour les commissions municipales ; art. L 5211-10-1 A pour le bureau de l’EPCI) ;</w:t>
      </w:r>
      <w:br/>
      <w:r>
        <w:rPr/>
        <w:t xml:space="preserve">- assouplissement des conditions permettant aux élus locaux de poursuivre l’exercice de leur mandat durant leur congé maladie ou leur congé maternité (cumul des indemnités journalières et des indemnités de fonction ; art. L 331-7 du code de la sécurité sociale) ;</w:t>
      </w:r>
      <w:br/>
      <w:r>
        <w:rPr/>
        <w:t xml:space="preserve">- octroi automatique de la protection fonctionnelle pour l’ensemble des élus locaux victimes de violences, de menaces ou d’outrages (art. L 2123-35 du CGCT) ;</w:t>
      </w:r>
      <w:br/>
      <w:r>
        <w:rPr/>
        <w:t xml:space="preserve">- allocation différentielle de fin de mandat (ADFM) élargie, augmentée et allongée à 2 ans (art. L 2123-11-2 du CGCT) ;</w:t>
      </w:r>
      <w:br/>
      <w:r>
        <w:rPr/>
        <w:t xml:space="preserve">- un contrat de sécurisation de l’engagement proposé aux élus locaux avec un accompagnement pour le retour à l’emploi (art. L 2123-11-3 du CGCT) ;</w:t>
      </w:r>
      <w:br/>
      <w:r>
        <w:rPr/>
        <w:t xml:space="preserve">- création d’un certificat de compétences professionnelles (art. L 6112-5 du code du travail) ;</w:t>
      </w:r>
      <w:br/>
      <w:r>
        <w:rPr/>
        <w:t xml:space="preserve">- amélioration du régime de retraite des élus locaux avec une bonification d’un trimestre par mandat complet (art. L 161-21-2 du code de la sécurité sociale) ;</w:t>
      </w:r>
      <w:br/>
      <w:r>
        <w:rPr/>
        <w:t xml:space="preserve">- assouplissement de la définition de la prise illégale d’intérêts (art. 432-12 du code pénal).</w:t>
      </w:r>
    </w:p>
    <w:p>
      <w:pPr>
        <w:numPr>
          <w:ilvl w:val="0"/>
          <w:numId w:val="4"/>
        </w:numPr>
      </w:pPr>
      <w:hyperlink r:id="rId7" w:history="1">
        <w:r>
          <w:rPr/>
          <w:t xml:space="preserve">Lire l'article complet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02993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ses-de-donnees-juridiques/vie-communale?section=19845&amp;nid=133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2026-04-27T19:26:57+02:00</dcterms:created>
  <dcterms:modified xsi:type="dcterms:W3CDTF">2026-04-27T19:26:57+02:00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