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Tribune de l’opposition dans le bulletin municipal. Réponse de la majorité dans la même publication (oui dans certains cas)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Selon la jurisprudence traditionnelle, la majorité dispose d’un droit de réponse à une tribune de l’opposition mais pas dans le même bulletin. Ainsi, une note de la rédaction qui suit immédiatement une tribune de l’opposition, dont elle a ainsi pour objet et pour effet de réduire la portée, est illégale (CAA Douai, 20 octobre 2020, </w:t>
      </w:r>
      <w:hyperlink r:id="rId7" w:history="1">
        <w:r>
          <w:rPr/>
          <w:t xml:space="preserve">n° 19DA01986</w:t>
        </w:r>
      </w:hyperlink>
      <w:r>
        <w:rPr/>
        <w:t xml:space="preserve">).</w:t>
      </w:r>
    </w:p>
    <w:p>
      <w:pPr/>
      <w:r>
        <w:rPr/>
        <w:t xml:space="preserve">Mais la Cour administrative d'appel de Bordeaux juge que </w:t>
      </w:r>
      <w:hyperlink r:id="rId8" w:history="1">
        <w:r>
          <w:rPr/>
          <w:t xml:space="preserve">l'article L 2121-27-1</w:t>
        </w:r>
      </w:hyperlink>
      <w:r>
        <w:rPr/>
        <w:t xml:space="preserve"> du CGCT permet à la majorité municipale de répondre dans le même journal communal sans porter atteinte à la liberté d'expression des élus d'opposition, dès lors que cet espace est suffisant et équitablement réparti.</w:t>
      </w:r>
    </w:p>
    <w:p>
      <w:pPr/>
      <w:r>
        <w:rPr/>
        <w:t xml:space="preserve">En l'espèce, l'expression des élus de la majorité municipale, directement sous la tribune rédigée par les conseillers municipaux d'opposition dans le journal d'information municipale de mai 2022, vise à rectifier les chiffres mentionnés par les élus d'opposition et plus particulièrement le montant de l'investissement consacré par la commune à la vidéosurveillance. Dans ce même cadre, les élus de la majorité affirment que « les finances de la commune sont saines et en excellent état pour planifier les projets 2022 sans augmentation de la fiscalité locale ».</w:t>
      </w:r>
    </w:p>
    <w:p>
      <w:pPr/>
      <w:r>
        <w:rPr/>
        <w:t xml:space="preserve">Ainsi, en se bornant à répondre de façon succincte à la tribune rédigée par les élus de l'opposition dans le même magazine municipal, sans empiéter sur l'espace réservé à ces derniers, l'expression de la majorité municipale n'a pas porté atteinte à la liberté d'expression des élus d'opposition (CAA Bordeaux, 2 décembre 2025, n° 24BX01821).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eta/id/CETATEXT000042456208" TargetMode="External"/><Relationship Id="rId8" Type="http://schemas.openxmlformats.org/officeDocument/2006/relationships/hyperlink" Target="https://www.legifrance.gouv.fr/codes/article_lc/LEGIARTI000049312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2026-06-13T01:54:43+02:00</dcterms:created>
  <dcterms:modified xsi:type="dcterms:W3CDTF">2026-06-13T01:54:43+02:00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