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Autorisations spéciales d’absence (ASA). Parentalité. Délai de 6 mois au gouvernement pour les fixer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Par un arrêt du 10 décembre 2025, le Conseil d’État a enjoint au Premier ministre de prendre, dans un délai de 6 mois, le décret d’application de la loi du 6 août 2019 qui doit harmoniser le régime des autorisations spéciales d’absence des agents publics.</w:t>
      </w:r>
    </w:p>
    <w:p>
      <w:pPr/>
      <w:r>
        <w:rPr/>
        <w:t xml:space="preserve">Ce décret doit définir la liste des autorisations spéciales d’absence liées à la parentalité ou à certains événements familiaux, ainsi que les conditions et modalités d’octroi de ces autorisations, en précisant celles qui sont accordées de plein droit, à l’exception de celles déjà régies par </w:t>
      </w:r>
      <w:hyperlink r:id="rId7" w:history="1">
        <w:r>
          <w:rPr/>
          <w:t xml:space="preserve">l’article L 1225-16</w:t>
        </w:r>
      </w:hyperlink>
      <w:r>
        <w:rPr/>
        <w:t xml:space="preserve"> du code du travail (CE, 10 décembre 2025, n° 503871).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51829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2026-04-27T20:35:11+02:00</dcterms:created>
  <dcterms:modified xsi:type="dcterms:W3CDTF">2026-04-27T20:35:11+02:00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