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Fusion de communautés. Fiscalité professionnelle unique (FPU). Montant des attributions de compensation</w:t>
      </w:r>
    </w:p>
    <w:p>
      <w:pPr>
        <w:pStyle w:val="Heading2"/>
      </w:pPr>
      <w:r>
        <w:rPr/>
        <w:t xml:space="preserve">Revue - Intercommunalité</w:t>
      </w:r>
    </w:p>
    <w:p>
      <w:pPr>
        <w:pStyle w:val="Heading3"/>
      </w:pPr>
      <w:r>
        <w:rPr/>
        <w:t xml:space="preserve">Source - Jurisprudence</w:t>
      </w:r>
    </w:p>
    <w:p/>
    <w:p>
      <w:pPr/>
      <w:r>
        <w:rPr/>
        <w:t xml:space="preserve">En cas de fusion d’EPCI à fiscalité professionnelle unique (FPU), le montant des attributions de compensation doit, en principe, être maintenu à hauteur de celui versé l’année précédant la fusion, sauf révision opérée conformément aux procédures prévues à </w:t>
      </w:r>
      <w:hyperlink r:id="rId7" w:history="1">
        <w:r>
          <w:rPr/>
          <w:t xml:space="preserve">l’article 1609 nonies C</w:t>
        </w:r>
      </w:hyperlink>
      <w:r>
        <w:rPr/>
        <w:t xml:space="preserve"> du code général des impôts.</w:t>
      </w:r>
    </w:p>
    <w:p>
      <w:pPr/>
      <w:r>
        <w:rPr/>
        <w:t xml:space="preserve">Lorsque des montants ont été valablement fixés par une révision libre reposant sur des délibérations concordantes de l’EPCI et des communes concernées, l’EPCI issu de la fusion est tenu de reprendre ces montants et ne peut s’en écarter qu’en recourant à une nouvelle procédure de révision (CAA Toulouse, 18 décembre 2025, </w:t>
      </w:r>
      <w:r>
        <w:rPr>
          <w:i w:val="1"/>
          <w:iCs w:val="1"/>
        </w:rPr>
        <w:t xml:space="preserve">communauté de communes Terres du Lauragais</w:t>
      </w:r>
      <w:r>
        <w:rPr/>
        <w:t xml:space="preserve">, n° 23TL02229).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219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2026-01-23T02:01:32+01:00</dcterms:created>
  <dcterms:modified xsi:type="dcterms:W3CDTF">2026-01-23T02:01:32+01:00</dcterms:modified>
</cp:coreProperties>
</file>

<file path=docProps/custom.xml><?xml version="1.0" encoding="utf-8"?>
<Properties xmlns="http://schemas.openxmlformats.org/officeDocument/2006/custom-properties" xmlns:vt="http://schemas.openxmlformats.org/officeDocument/2006/docPropsVTypes"/>
</file>