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candidats ou de conseil municipal. Délégation spéciale. Circulaire n° ATDB2535402C du 16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 ATDB2535402C du 16 décembre 2025 sur les délégations spéciales, mise à jour pour les élections municipales de mars 2026, précise les règles applicables en cas d’absence de candidats ou de conseil municipal inopérant (démission collective, annulation des élections).</w:t>
      </w:r>
    </w:p>
    <w:p>
      <w:pPr/>
      <w:r>
        <w:rPr/>
        <w:t xml:space="preserve">Elle expose par ailleurs les règles applicables aux conseillers communautaires lorsqu’une délégation spéciale est instituée.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2026-04-27T19:11:12+02:00</dcterms:created>
  <dcterms:modified xsi:type="dcterms:W3CDTF">2026-04-27T19:11:12+02:00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